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AC37" w14:textId="77777777" w:rsidR="00031512" w:rsidRDefault="008E0BFA">
      <w:pPr>
        <w:pStyle w:val="Heading3"/>
        <w:jc w:val="center"/>
        <w:rPr>
          <w:b/>
        </w:rPr>
      </w:pPr>
      <w:bookmarkStart w:id="0" w:name="_kvv65zgguo3p" w:colFirst="0" w:colLast="0"/>
      <w:bookmarkEnd w:id="0"/>
      <w:r>
        <w:rPr>
          <w:b/>
        </w:rPr>
        <w:t>PARTICIPANT INFORMATION SHEET</w:t>
      </w:r>
    </w:p>
    <w:p w14:paraId="746D98E9" w14:textId="77777777" w:rsidR="00031512" w:rsidRDefault="008E0BFA">
      <w:pPr>
        <w:pStyle w:val="Heading3"/>
        <w:jc w:val="center"/>
      </w:pPr>
      <w:bookmarkStart w:id="1" w:name="_5jhaehwu8tc4" w:colFirst="0" w:colLast="0"/>
      <w:bookmarkEnd w:id="1"/>
      <w:r>
        <w:rPr>
          <w:b/>
        </w:rPr>
        <w:t>FOCUS GROUP</w:t>
      </w:r>
    </w:p>
    <w:p w14:paraId="2B90282B" w14:textId="77777777" w:rsidR="00031512" w:rsidRDefault="00031512"/>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6915"/>
      </w:tblGrid>
      <w:tr w:rsidR="00031512" w14:paraId="76C98403" w14:textId="77777777">
        <w:tc>
          <w:tcPr>
            <w:tcW w:w="2085" w:type="dxa"/>
            <w:shd w:val="clear" w:color="auto" w:fill="auto"/>
            <w:tcMar>
              <w:top w:w="100" w:type="dxa"/>
              <w:left w:w="100" w:type="dxa"/>
              <w:bottom w:w="100" w:type="dxa"/>
              <w:right w:w="100" w:type="dxa"/>
            </w:tcMar>
          </w:tcPr>
          <w:p w14:paraId="5461C778" w14:textId="77777777" w:rsidR="00031512" w:rsidRDefault="008E0BFA">
            <w:pPr>
              <w:widowControl w:val="0"/>
              <w:spacing w:line="240" w:lineRule="auto"/>
            </w:pPr>
            <w:r>
              <w:t>Project title</w:t>
            </w:r>
          </w:p>
        </w:tc>
        <w:tc>
          <w:tcPr>
            <w:tcW w:w="6915" w:type="dxa"/>
            <w:shd w:val="clear" w:color="auto" w:fill="auto"/>
            <w:tcMar>
              <w:top w:w="100" w:type="dxa"/>
              <w:left w:w="100" w:type="dxa"/>
              <w:bottom w:w="100" w:type="dxa"/>
              <w:right w:w="100" w:type="dxa"/>
            </w:tcMar>
          </w:tcPr>
          <w:p w14:paraId="462E3C3B" w14:textId="77777777" w:rsidR="00031512" w:rsidRDefault="008E0BFA">
            <w:pPr>
              <w:widowControl w:val="0"/>
              <w:spacing w:line="240" w:lineRule="auto"/>
            </w:pPr>
            <w:r>
              <w:t>Care Criminalisation of Young People with Disability in Child Protection Systems</w:t>
            </w:r>
          </w:p>
        </w:tc>
      </w:tr>
      <w:tr w:rsidR="00031512" w14:paraId="43819037" w14:textId="77777777">
        <w:tc>
          <w:tcPr>
            <w:tcW w:w="2085" w:type="dxa"/>
            <w:shd w:val="clear" w:color="auto" w:fill="auto"/>
            <w:tcMar>
              <w:top w:w="100" w:type="dxa"/>
              <w:left w:w="100" w:type="dxa"/>
              <w:bottom w:w="100" w:type="dxa"/>
              <w:right w:w="100" w:type="dxa"/>
            </w:tcMar>
          </w:tcPr>
          <w:p w14:paraId="2BDA6C77" w14:textId="77777777" w:rsidR="00031512" w:rsidRDefault="008E0BFA">
            <w:pPr>
              <w:widowControl w:val="0"/>
              <w:spacing w:line="240" w:lineRule="auto"/>
            </w:pPr>
            <w:r>
              <w:t>HREC Reference number</w:t>
            </w:r>
          </w:p>
        </w:tc>
        <w:tc>
          <w:tcPr>
            <w:tcW w:w="6915" w:type="dxa"/>
            <w:shd w:val="clear" w:color="auto" w:fill="auto"/>
            <w:tcMar>
              <w:top w:w="100" w:type="dxa"/>
              <w:left w:w="100" w:type="dxa"/>
              <w:bottom w:w="100" w:type="dxa"/>
              <w:right w:w="100" w:type="dxa"/>
            </w:tcMar>
          </w:tcPr>
          <w:p w14:paraId="757FD0FE" w14:textId="77777777" w:rsidR="00031512" w:rsidRDefault="008E0BFA">
            <w:pPr>
              <w:widowControl w:val="0"/>
              <w:spacing w:line="240" w:lineRule="auto"/>
            </w:pPr>
            <w:r>
              <w:t>1896/21</w:t>
            </w:r>
          </w:p>
        </w:tc>
      </w:tr>
      <w:tr w:rsidR="00031512" w14:paraId="69767874" w14:textId="77777777">
        <w:tc>
          <w:tcPr>
            <w:tcW w:w="2085" w:type="dxa"/>
            <w:shd w:val="clear" w:color="auto" w:fill="auto"/>
            <w:tcMar>
              <w:top w:w="100" w:type="dxa"/>
              <w:left w:w="100" w:type="dxa"/>
              <w:bottom w:w="100" w:type="dxa"/>
              <w:right w:w="100" w:type="dxa"/>
            </w:tcMar>
          </w:tcPr>
          <w:p w14:paraId="5C867634" w14:textId="77777777" w:rsidR="00031512" w:rsidRDefault="008E0BFA">
            <w:pPr>
              <w:widowControl w:val="0"/>
              <w:spacing w:line="240" w:lineRule="auto"/>
            </w:pPr>
            <w:r>
              <w:t>Chief Investigator</w:t>
            </w:r>
          </w:p>
        </w:tc>
        <w:tc>
          <w:tcPr>
            <w:tcW w:w="6915" w:type="dxa"/>
            <w:shd w:val="clear" w:color="auto" w:fill="auto"/>
            <w:tcMar>
              <w:top w:w="100" w:type="dxa"/>
              <w:left w:w="100" w:type="dxa"/>
              <w:bottom w:w="100" w:type="dxa"/>
              <w:right w:w="100" w:type="dxa"/>
            </w:tcMar>
          </w:tcPr>
          <w:p w14:paraId="2D719C22" w14:textId="77777777" w:rsidR="00031512" w:rsidRDefault="008E0BFA">
            <w:pPr>
              <w:widowControl w:val="0"/>
              <w:spacing w:line="240" w:lineRule="auto"/>
            </w:pPr>
            <w:r>
              <w:t xml:space="preserve">Dr Susan </w:t>
            </w:r>
            <w:proofErr w:type="spellStart"/>
            <w:r>
              <w:t>Baidawi</w:t>
            </w:r>
            <w:proofErr w:type="spellEnd"/>
          </w:p>
          <w:p w14:paraId="7A7F85C3" w14:textId="77777777" w:rsidR="00031512" w:rsidRDefault="008E0BFA">
            <w:pPr>
              <w:widowControl w:val="0"/>
              <w:spacing w:line="240" w:lineRule="auto"/>
            </w:pPr>
            <w:r>
              <w:t>Monash University Department of Social Work</w:t>
            </w:r>
          </w:p>
          <w:p w14:paraId="093B79A3" w14:textId="77777777" w:rsidR="00031512" w:rsidRDefault="008E0BFA">
            <w:pPr>
              <w:widowControl w:val="0"/>
              <w:spacing w:line="240" w:lineRule="auto"/>
            </w:pPr>
            <w:r>
              <w:t>Ph: (03) 9903 1604    E: susan.baidawi@monash.edu</w:t>
            </w:r>
          </w:p>
          <w:p w14:paraId="49B615FD" w14:textId="77777777" w:rsidR="00031512" w:rsidRDefault="00031512">
            <w:pPr>
              <w:widowControl w:val="0"/>
              <w:spacing w:line="240" w:lineRule="auto"/>
            </w:pPr>
          </w:p>
        </w:tc>
      </w:tr>
      <w:tr w:rsidR="00031512" w14:paraId="5C6590E3" w14:textId="77777777">
        <w:tc>
          <w:tcPr>
            <w:tcW w:w="2085" w:type="dxa"/>
            <w:shd w:val="clear" w:color="auto" w:fill="auto"/>
            <w:tcMar>
              <w:top w:w="100" w:type="dxa"/>
              <w:left w:w="100" w:type="dxa"/>
              <w:bottom w:w="100" w:type="dxa"/>
              <w:right w:w="100" w:type="dxa"/>
            </w:tcMar>
          </w:tcPr>
          <w:p w14:paraId="00F7E96A" w14:textId="77777777" w:rsidR="00031512" w:rsidRDefault="008E0BFA">
            <w:pPr>
              <w:widowControl w:val="0"/>
              <w:spacing w:line="240" w:lineRule="auto"/>
            </w:pPr>
            <w:r>
              <w:t>Associate Investigators</w:t>
            </w:r>
          </w:p>
        </w:tc>
        <w:tc>
          <w:tcPr>
            <w:tcW w:w="6915" w:type="dxa"/>
            <w:shd w:val="clear" w:color="auto" w:fill="auto"/>
            <w:tcMar>
              <w:top w:w="100" w:type="dxa"/>
              <w:left w:w="100" w:type="dxa"/>
              <w:bottom w:w="100" w:type="dxa"/>
              <w:right w:w="100" w:type="dxa"/>
            </w:tcMar>
          </w:tcPr>
          <w:p w14:paraId="41C230DE" w14:textId="77777777" w:rsidR="00031512" w:rsidRDefault="008E0BFA">
            <w:pPr>
              <w:widowControl w:val="0"/>
              <w:spacing w:line="240" w:lineRule="auto"/>
            </w:pPr>
            <w:r>
              <w:t>Professor Rosemary Sheehan AM, Monash University</w:t>
            </w:r>
          </w:p>
          <w:p w14:paraId="51D998AE" w14:textId="77777777" w:rsidR="00031512" w:rsidRDefault="008E0BFA">
            <w:pPr>
              <w:widowControl w:val="0"/>
              <w:spacing w:line="240" w:lineRule="auto"/>
            </w:pPr>
            <w:r>
              <w:t>Dr Scott Avery, Western Sydney University</w:t>
            </w:r>
          </w:p>
          <w:p w14:paraId="23C31CF6" w14:textId="77777777" w:rsidR="00031512" w:rsidRDefault="008E0BFA">
            <w:pPr>
              <w:widowControl w:val="0"/>
              <w:spacing w:line="240" w:lineRule="auto"/>
            </w:pPr>
            <w:r>
              <w:t>Ms Robyn Newitt, Western Sydney University</w:t>
            </w:r>
          </w:p>
          <w:p w14:paraId="0F3AC35D" w14:textId="77777777" w:rsidR="00031512" w:rsidRDefault="008E0BFA">
            <w:pPr>
              <w:widowControl w:val="0"/>
              <w:spacing w:line="240" w:lineRule="auto"/>
            </w:pPr>
            <w:r>
              <w:t xml:space="preserve">Dr Gayatri </w:t>
            </w:r>
            <w:proofErr w:type="spellStart"/>
            <w:r>
              <w:t>Kembhavi</w:t>
            </w:r>
            <w:proofErr w:type="spellEnd"/>
            <w:r>
              <w:t xml:space="preserve">-Tam, Centre for </w:t>
            </w:r>
            <w:proofErr w:type="gramStart"/>
            <w:r>
              <w:t>Evidence</w:t>
            </w:r>
            <w:proofErr w:type="gramEnd"/>
            <w:r>
              <w:t xml:space="preserve"> and Implementation</w:t>
            </w:r>
          </w:p>
        </w:tc>
      </w:tr>
      <w:tr w:rsidR="00031512" w14:paraId="38EC9425" w14:textId="77777777">
        <w:tc>
          <w:tcPr>
            <w:tcW w:w="2085" w:type="dxa"/>
            <w:shd w:val="clear" w:color="auto" w:fill="auto"/>
            <w:tcMar>
              <w:top w:w="100" w:type="dxa"/>
              <w:left w:w="100" w:type="dxa"/>
              <w:bottom w:w="100" w:type="dxa"/>
              <w:right w:w="100" w:type="dxa"/>
            </w:tcMar>
          </w:tcPr>
          <w:p w14:paraId="3F7446F5" w14:textId="77777777" w:rsidR="00031512" w:rsidRDefault="008E0BFA">
            <w:pPr>
              <w:widowControl w:val="0"/>
              <w:spacing w:line="240" w:lineRule="auto"/>
            </w:pPr>
            <w:r>
              <w:t>Institution Responsible</w:t>
            </w:r>
          </w:p>
        </w:tc>
        <w:tc>
          <w:tcPr>
            <w:tcW w:w="6915" w:type="dxa"/>
            <w:shd w:val="clear" w:color="auto" w:fill="auto"/>
            <w:tcMar>
              <w:top w:w="100" w:type="dxa"/>
              <w:left w:w="100" w:type="dxa"/>
              <w:bottom w:w="100" w:type="dxa"/>
              <w:right w:w="100" w:type="dxa"/>
            </w:tcMar>
          </w:tcPr>
          <w:p w14:paraId="6AD2ED75" w14:textId="77777777" w:rsidR="00031512" w:rsidRDefault="008E0BFA">
            <w:pPr>
              <w:widowControl w:val="0"/>
              <w:spacing w:line="240" w:lineRule="auto"/>
            </w:pPr>
            <w:r>
              <w:t>Monash University</w:t>
            </w:r>
          </w:p>
        </w:tc>
      </w:tr>
      <w:tr w:rsidR="00031512" w14:paraId="1CE8EB38" w14:textId="77777777">
        <w:trPr>
          <w:trHeight w:val="745"/>
        </w:trPr>
        <w:tc>
          <w:tcPr>
            <w:tcW w:w="2085" w:type="dxa"/>
            <w:shd w:val="clear" w:color="auto" w:fill="auto"/>
            <w:tcMar>
              <w:top w:w="100" w:type="dxa"/>
              <w:left w:w="100" w:type="dxa"/>
              <w:bottom w:w="100" w:type="dxa"/>
              <w:right w:w="100" w:type="dxa"/>
            </w:tcMar>
          </w:tcPr>
          <w:p w14:paraId="66FC25FB" w14:textId="77777777" w:rsidR="00031512" w:rsidRDefault="008E0BFA">
            <w:pPr>
              <w:widowControl w:val="0"/>
              <w:spacing w:line="240" w:lineRule="auto"/>
            </w:pPr>
            <w:r>
              <w:t>Project funder</w:t>
            </w:r>
          </w:p>
        </w:tc>
        <w:tc>
          <w:tcPr>
            <w:tcW w:w="6915" w:type="dxa"/>
            <w:shd w:val="clear" w:color="auto" w:fill="auto"/>
            <w:tcMar>
              <w:top w:w="100" w:type="dxa"/>
              <w:left w:w="100" w:type="dxa"/>
              <w:bottom w:w="100" w:type="dxa"/>
              <w:right w:w="100" w:type="dxa"/>
            </w:tcMar>
          </w:tcPr>
          <w:p w14:paraId="724A0684" w14:textId="77777777" w:rsidR="00031512" w:rsidRDefault="008E0BFA">
            <w:pPr>
              <w:widowControl w:val="0"/>
              <w:spacing w:line="240" w:lineRule="auto"/>
            </w:pPr>
            <w:r>
              <w:t>Royal Commission into Violence, Abuse, Neglect and Exploitation of People with Disability</w:t>
            </w:r>
          </w:p>
        </w:tc>
      </w:tr>
    </w:tbl>
    <w:p w14:paraId="2E948129" w14:textId="77777777" w:rsidR="00031512" w:rsidRDefault="00031512"/>
    <w:p w14:paraId="122BD61E" w14:textId="77777777" w:rsidR="00031512" w:rsidRDefault="00031512"/>
    <w:p w14:paraId="36C1F6AB" w14:textId="77777777" w:rsidR="00031512" w:rsidRDefault="008E0BFA">
      <w:pPr>
        <w:jc w:val="both"/>
      </w:pPr>
      <w:r>
        <w:t xml:space="preserve">You are invited to take part in this study.  Please read through this participant information sheet in full before deciding </w:t>
      </w:r>
      <w:proofErr w:type="gramStart"/>
      <w:r>
        <w:t>whether or not</w:t>
      </w:r>
      <w:proofErr w:type="gramEnd"/>
      <w:r>
        <w:t xml:space="preserve"> to participate in this research.  If you would like more information regarding any aspect of this project, you are en</w:t>
      </w:r>
      <w:r>
        <w:t xml:space="preserve">couraged to contact the researchers via the phone number or email address listed above. </w:t>
      </w:r>
    </w:p>
    <w:p w14:paraId="4A20D9AF" w14:textId="77777777" w:rsidR="00031512" w:rsidRDefault="00031512">
      <w:pPr>
        <w:jc w:val="both"/>
      </w:pPr>
    </w:p>
    <w:p w14:paraId="694BE710" w14:textId="77777777" w:rsidR="00031512" w:rsidRDefault="008E0BFA">
      <w:pPr>
        <w:jc w:val="both"/>
        <w:rPr>
          <w:b/>
        </w:rPr>
      </w:pPr>
      <w:r>
        <w:rPr>
          <w:b/>
        </w:rPr>
        <w:t xml:space="preserve">Who is involved in this project? </w:t>
      </w:r>
    </w:p>
    <w:p w14:paraId="1FEC3E83" w14:textId="77777777" w:rsidR="00031512" w:rsidRDefault="008E0BFA">
      <w:pPr>
        <w:jc w:val="both"/>
      </w:pPr>
      <w:r>
        <w:t>We are a group of researchers from three different organisations, working in partnership.  The research team consists of social work</w:t>
      </w:r>
      <w:r>
        <w:t xml:space="preserve"> researchers from Monash University, First Nations researchers from Western Sydney University and an implementation researcher from the Centre for Evidence and Implementation.  </w:t>
      </w:r>
    </w:p>
    <w:p w14:paraId="4526D812" w14:textId="77777777" w:rsidR="00031512" w:rsidRDefault="00031512">
      <w:pPr>
        <w:jc w:val="both"/>
      </w:pPr>
    </w:p>
    <w:p w14:paraId="7E3BF204" w14:textId="77777777" w:rsidR="00031512" w:rsidRDefault="008E0BFA">
      <w:pPr>
        <w:jc w:val="both"/>
        <w:rPr>
          <w:b/>
        </w:rPr>
      </w:pPr>
      <w:r>
        <w:rPr>
          <w:b/>
        </w:rPr>
        <w:t>Background to the research topic</w:t>
      </w:r>
    </w:p>
    <w:p w14:paraId="5CC08E98" w14:textId="77777777" w:rsidR="00031512" w:rsidRDefault="008E0BFA">
      <w:pPr>
        <w:jc w:val="both"/>
      </w:pPr>
      <w:r>
        <w:t>Young people in the child protection system,</w:t>
      </w:r>
      <w:r>
        <w:t xml:space="preserve"> especially those in out of home care (OOHC), are at increased risk of </w:t>
      </w:r>
      <w:proofErr w:type="gramStart"/>
      <w:r>
        <w:t>coming into contact with</w:t>
      </w:r>
      <w:proofErr w:type="gramEnd"/>
      <w:r>
        <w:t xml:space="preserve"> the criminal justice system, both while they are still in the child protection system and in the period following their transition out of the system. The relati</w:t>
      </w:r>
      <w:r>
        <w:t>onship between trauma, abuse and neglect and involvement with both the child protection and criminal justice systems is well-established. Young people who have been in contact with both the child protection and criminal justice systems are sometimes referr</w:t>
      </w:r>
      <w:r>
        <w:t xml:space="preserve">ed to as “crossover children”. First Nations young people, who are greatly overrepresented in both systems, are up to 18 times more likely to fall into this group. Young people with disability </w:t>
      </w:r>
      <w:r>
        <w:lastRenderedPageBreak/>
        <w:t>are overrepresented in both systems,</w:t>
      </w:r>
      <w:r>
        <w:rPr>
          <w:vertAlign w:val="superscript"/>
        </w:rPr>
        <w:t xml:space="preserve"> </w:t>
      </w:r>
      <w:r>
        <w:t>but there is understanding</w:t>
      </w:r>
      <w:r>
        <w:t xml:space="preserve"> about what factors affect the chance of young people with disability in the child protection system entering the criminal justice system. There is also limited information about what can prevent or address criminal justice system contact for children with</w:t>
      </w:r>
      <w:r>
        <w:t xml:space="preserve"> disability in child protection systems.  </w:t>
      </w:r>
    </w:p>
    <w:p w14:paraId="622B42E5" w14:textId="77777777" w:rsidR="00031512" w:rsidRDefault="00031512">
      <w:pPr>
        <w:jc w:val="both"/>
      </w:pPr>
    </w:p>
    <w:p w14:paraId="30B237B0" w14:textId="77777777" w:rsidR="00031512" w:rsidRDefault="008E0BFA">
      <w:pPr>
        <w:jc w:val="both"/>
        <w:rPr>
          <w:b/>
        </w:rPr>
      </w:pPr>
      <w:r>
        <w:rPr>
          <w:b/>
        </w:rPr>
        <w:t xml:space="preserve">The research </w:t>
      </w:r>
      <w:proofErr w:type="gramStart"/>
      <w:r>
        <w:rPr>
          <w:b/>
        </w:rPr>
        <w:t>project</w:t>
      </w:r>
      <w:proofErr w:type="gramEnd"/>
    </w:p>
    <w:p w14:paraId="400F3560" w14:textId="77777777" w:rsidR="00031512" w:rsidRDefault="008E0BFA">
      <w:pPr>
        <w:jc w:val="both"/>
      </w:pPr>
      <w:r>
        <w:t>This research has been requested by the Royal Commission into Violence, Abuse, Neglect and Exploitation of People with a Disability (the Royal Commission).  The Royal Commission wants to know</w:t>
      </w:r>
      <w:r>
        <w:t xml:space="preserve"> more about children with disability in child protection systems, and their pathways into criminal justice systems.  They also seek to understand effective interventions that can interrupt these pathways and improve outcomes for young people with a disabil</w:t>
      </w:r>
      <w:r>
        <w:t>ity.  There is little existing research about this area, and this project intends to fill that gap in knowledge.</w:t>
      </w:r>
    </w:p>
    <w:p w14:paraId="227F86EF" w14:textId="77777777" w:rsidR="00031512" w:rsidRDefault="00031512">
      <w:pPr>
        <w:ind w:left="720"/>
        <w:jc w:val="both"/>
      </w:pPr>
    </w:p>
    <w:p w14:paraId="11683740" w14:textId="77777777" w:rsidR="00031512" w:rsidRDefault="008E0BFA">
      <w:pPr>
        <w:jc w:val="both"/>
        <w:rPr>
          <w:b/>
        </w:rPr>
      </w:pPr>
      <w:r>
        <w:rPr>
          <w:b/>
        </w:rPr>
        <w:t>Why were you invited to participate in this research?</w:t>
      </w:r>
    </w:p>
    <w:p w14:paraId="661C3D1B" w14:textId="77777777" w:rsidR="00031512" w:rsidRDefault="008E0BFA">
      <w:pPr>
        <w:jc w:val="both"/>
      </w:pPr>
      <w:r>
        <w:t>We want to hear from people who work with First Nations and Culturally and Linguisticall</w:t>
      </w:r>
      <w:r>
        <w:t xml:space="preserve">y Diverse children and young people with disability in Child Protection systems and justice systems.  We seek to understand the unique needs, challenges and outcomes facing these </w:t>
      </w:r>
      <w:proofErr w:type="gramStart"/>
      <w:r>
        <w:t>particular groups</w:t>
      </w:r>
      <w:proofErr w:type="gramEnd"/>
      <w:r>
        <w:t xml:space="preserve"> of young people.  Our project partners who are Aboriginal C</w:t>
      </w:r>
      <w:r>
        <w:t>ommunity Controlled Organisations have invited their affiliates to be part of this research.</w:t>
      </w:r>
    </w:p>
    <w:p w14:paraId="6461311D" w14:textId="77777777" w:rsidR="00031512" w:rsidRDefault="00031512">
      <w:pPr>
        <w:jc w:val="both"/>
      </w:pPr>
    </w:p>
    <w:p w14:paraId="7FA60C7C" w14:textId="77777777" w:rsidR="00031512" w:rsidRDefault="008E0BFA">
      <w:pPr>
        <w:jc w:val="both"/>
        <w:rPr>
          <w:b/>
        </w:rPr>
      </w:pPr>
      <w:r>
        <w:rPr>
          <w:b/>
        </w:rPr>
        <w:t>What does the research involve?</w:t>
      </w:r>
    </w:p>
    <w:p w14:paraId="2039E0EB" w14:textId="77777777" w:rsidR="00031512" w:rsidRDefault="008E0BFA">
      <w:pPr>
        <w:jc w:val="both"/>
      </w:pPr>
      <w:r>
        <w:t>You will be invited to participate in a focus group either in person (if possible) or via zoom.  Prior to taking part in the focus</w:t>
      </w:r>
      <w:r>
        <w:t xml:space="preserve"> group, you will be asked to sign a consent form to participation.  The focus group will take up to 90 minutes and involve 6-8 participants.  The focus group will be facilitated by a First Nations researcher.  You will be given a copy of topics and questio</w:t>
      </w:r>
      <w:r>
        <w:t xml:space="preserve">ns before the focus group. </w:t>
      </w:r>
    </w:p>
    <w:p w14:paraId="67765230" w14:textId="77777777" w:rsidR="00031512" w:rsidRDefault="00031512">
      <w:pPr>
        <w:jc w:val="both"/>
      </w:pPr>
    </w:p>
    <w:p w14:paraId="413BEBD5" w14:textId="77777777" w:rsidR="00031512" w:rsidRDefault="008E0BFA">
      <w:pPr>
        <w:jc w:val="both"/>
      </w:pPr>
      <w:r>
        <w:t xml:space="preserve">During the focus group, you will be invited to share your experiences of the current services provided to young people with a disability in Child Protection systems at risk of justice involvement; any strengths and limitations </w:t>
      </w:r>
      <w:r>
        <w:t xml:space="preserve">of the current service system, examples of good practice and suggestions for improving outcomes for these young people.  </w:t>
      </w:r>
    </w:p>
    <w:p w14:paraId="32D30F8A" w14:textId="77777777" w:rsidR="00031512" w:rsidRDefault="00031512">
      <w:pPr>
        <w:jc w:val="both"/>
      </w:pPr>
    </w:p>
    <w:p w14:paraId="6607EDB5" w14:textId="77777777" w:rsidR="00031512" w:rsidRDefault="008E0BFA">
      <w:pPr>
        <w:jc w:val="both"/>
      </w:pPr>
      <w:r>
        <w:t>The focus groups will be audio or video recorded to allow for transcription and analysis.  Due to the nature of focus groups, the oth</w:t>
      </w:r>
      <w:r>
        <w:t>er participants will be able to identify your involvement in the project.  The transcription of the focus groups however will be de-identified and all the data used in future publications will also be de-identified.</w:t>
      </w:r>
    </w:p>
    <w:p w14:paraId="59372B05" w14:textId="77777777" w:rsidR="00031512" w:rsidRDefault="00031512">
      <w:pPr>
        <w:jc w:val="both"/>
      </w:pPr>
    </w:p>
    <w:p w14:paraId="347A38BB" w14:textId="77777777" w:rsidR="00031512" w:rsidRDefault="008E0BFA">
      <w:pPr>
        <w:jc w:val="both"/>
      </w:pPr>
      <w:r>
        <w:t>There is no reimbursement or payment fo</w:t>
      </w:r>
      <w:r>
        <w:t xml:space="preserve">r participation in this research.  </w:t>
      </w:r>
    </w:p>
    <w:p w14:paraId="4FDF3693" w14:textId="77777777" w:rsidR="00031512" w:rsidRDefault="00031512">
      <w:pPr>
        <w:jc w:val="both"/>
      </w:pPr>
    </w:p>
    <w:p w14:paraId="413D7AAC" w14:textId="77777777" w:rsidR="00031512" w:rsidRDefault="008E0BFA">
      <w:pPr>
        <w:jc w:val="both"/>
      </w:pPr>
      <w:r>
        <w:rPr>
          <w:b/>
        </w:rPr>
        <w:t>Possible benefits and risks to participants</w:t>
      </w:r>
    </w:p>
    <w:p w14:paraId="6E97E715" w14:textId="77777777" w:rsidR="00031512" w:rsidRDefault="008E0BFA">
      <w:pPr>
        <w:jc w:val="both"/>
      </w:pPr>
      <w:r>
        <w:t>Many participants will experience no direct or immediate benefits, however there are broader beneficial impacts for community. This research will contribute to the outcomes of</w:t>
      </w:r>
      <w:r>
        <w:t xml:space="preserve"> the Disability Royal Commission, which will aim to benefit young people with disability who have child protection system contact and who are at risk of justice-system involvement, including First Nations children and those from culturally and linguistical</w:t>
      </w:r>
      <w:r>
        <w:t xml:space="preserve">ly diverse backgrounds.  </w:t>
      </w:r>
    </w:p>
    <w:p w14:paraId="5488FF39" w14:textId="77777777" w:rsidR="00031512" w:rsidRDefault="00031512">
      <w:pPr>
        <w:jc w:val="both"/>
      </w:pPr>
    </w:p>
    <w:p w14:paraId="26B40B72" w14:textId="77777777" w:rsidR="00031512" w:rsidRDefault="00031512">
      <w:pPr>
        <w:jc w:val="both"/>
      </w:pPr>
    </w:p>
    <w:p w14:paraId="6427D0CE" w14:textId="77777777" w:rsidR="00031512" w:rsidRDefault="008E0BFA">
      <w:pPr>
        <w:jc w:val="both"/>
      </w:pPr>
      <w:r>
        <w:lastRenderedPageBreak/>
        <w:t xml:space="preserve">Even though we do not expect that being in the focus group will cause any distress, it is possible that some participants may find the content distressing, given the reality of intergenerational trauma, </w:t>
      </w:r>
      <w:proofErr w:type="gramStart"/>
      <w:r>
        <w:t>and also</w:t>
      </w:r>
      <w:proofErr w:type="gramEnd"/>
      <w:r>
        <w:t xml:space="preserve"> the cultural and emotional demands of workin</w:t>
      </w:r>
      <w:r>
        <w:t>g in programs in this space.  However, the focus of the questions will be on the nature and availability of services, the impact of support programs on children’s outcomes, and participant’s ideas for improving support and outcomes for this group of childr</w:t>
      </w:r>
      <w:r>
        <w:t>en and young people. The questions will focus on your professional expertise, rather than your personal experiences.</w:t>
      </w:r>
    </w:p>
    <w:p w14:paraId="6682581C" w14:textId="77777777" w:rsidR="00031512" w:rsidRDefault="00031512">
      <w:pPr>
        <w:jc w:val="both"/>
      </w:pPr>
    </w:p>
    <w:p w14:paraId="317B0BE1" w14:textId="77777777" w:rsidR="00031512" w:rsidRDefault="008E0BFA">
      <w:pPr>
        <w:jc w:val="both"/>
        <w:rPr>
          <w:b/>
        </w:rPr>
      </w:pPr>
      <w:r>
        <w:t>If any of the discussion causes distress, participants can refuse to answer certain questions or take time out from the focus group.</w:t>
      </w:r>
    </w:p>
    <w:p w14:paraId="58838B2E" w14:textId="77777777" w:rsidR="00031512" w:rsidRDefault="00031512">
      <w:pPr>
        <w:jc w:val="both"/>
      </w:pPr>
    </w:p>
    <w:p w14:paraId="497F58C0" w14:textId="77777777" w:rsidR="00031512" w:rsidRDefault="008E0BFA">
      <w:pPr>
        <w:jc w:val="both"/>
        <w:rPr>
          <w:b/>
        </w:rPr>
      </w:pPr>
      <w:r>
        <w:rPr>
          <w:b/>
        </w:rPr>
        <w:t xml:space="preserve">Can </w:t>
      </w:r>
      <w:r>
        <w:rPr>
          <w:b/>
        </w:rPr>
        <w:t xml:space="preserve">I withdraw from the research? </w:t>
      </w:r>
    </w:p>
    <w:p w14:paraId="357C8CF3" w14:textId="77777777" w:rsidR="00031512" w:rsidRDefault="008E0BFA">
      <w:pPr>
        <w:jc w:val="both"/>
      </w:pPr>
      <w:r>
        <w:t>Being part of this study is completely voluntary.  Participants will be asked to sign a consent form before the focus group.  You will not be disadvantaged in any way if you choose not to participate or withdraw from this pro</w:t>
      </w:r>
      <w:r>
        <w:t>ject, however as this is a group discussion it will not be possible to exclude individual data once the session has commenced.  All data collected will be de-identified.</w:t>
      </w:r>
    </w:p>
    <w:p w14:paraId="06381FE5" w14:textId="77777777" w:rsidR="00031512" w:rsidRDefault="00031512">
      <w:pPr>
        <w:jc w:val="both"/>
      </w:pPr>
    </w:p>
    <w:p w14:paraId="322C50F6" w14:textId="77777777" w:rsidR="00031512" w:rsidRDefault="008E0BFA">
      <w:pPr>
        <w:jc w:val="both"/>
        <w:rPr>
          <w:b/>
        </w:rPr>
      </w:pPr>
      <w:r>
        <w:rPr>
          <w:b/>
        </w:rPr>
        <w:t>Confidentiality</w:t>
      </w:r>
    </w:p>
    <w:p w14:paraId="692AACC1" w14:textId="77777777" w:rsidR="00031512" w:rsidRDefault="008E0BFA">
      <w:pPr>
        <w:jc w:val="both"/>
      </w:pPr>
      <w:r>
        <w:t>The information in this research project will be confidential and nob</w:t>
      </w:r>
      <w:r>
        <w:t xml:space="preserve">ody will know you participated in the focus group except for the researchers and other focus group members. All information from this study will be de-identified before publication. </w:t>
      </w:r>
    </w:p>
    <w:p w14:paraId="25325B94" w14:textId="77777777" w:rsidR="00031512" w:rsidRDefault="00031512">
      <w:pPr>
        <w:jc w:val="both"/>
      </w:pPr>
    </w:p>
    <w:p w14:paraId="17F01316" w14:textId="77777777" w:rsidR="00031512" w:rsidRDefault="008E0BFA">
      <w:pPr>
        <w:jc w:val="both"/>
        <w:rPr>
          <w:b/>
        </w:rPr>
      </w:pPr>
      <w:r>
        <w:rPr>
          <w:b/>
        </w:rPr>
        <w:t>Storage of information collected</w:t>
      </w:r>
    </w:p>
    <w:p w14:paraId="7018F00E" w14:textId="77777777" w:rsidR="00031512" w:rsidRDefault="008E0BFA">
      <w:pPr>
        <w:jc w:val="both"/>
      </w:pPr>
      <w:r>
        <w:t xml:space="preserve">Electronic data will be stored on a university networked drive.  This is secured by password protection and multi-factor authentication.  Only the researchers involved in this study will have access to this data.  Data will be kept for five years.  </w:t>
      </w:r>
    </w:p>
    <w:p w14:paraId="07BE4AB7" w14:textId="77777777" w:rsidR="00031512" w:rsidRDefault="00031512">
      <w:pPr>
        <w:jc w:val="both"/>
      </w:pPr>
    </w:p>
    <w:p w14:paraId="2A450B40" w14:textId="77777777" w:rsidR="00031512" w:rsidRDefault="008E0BFA">
      <w:pPr>
        <w:jc w:val="both"/>
        <w:rPr>
          <w:b/>
        </w:rPr>
      </w:pPr>
      <w:r>
        <w:rPr>
          <w:b/>
        </w:rPr>
        <w:t>Resul</w:t>
      </w:r>
      <w:r>
        <w:rPr>
          <w:b/>
        </w:rPr>
        <w:t>ts or queries</w:t>
      </w:r>
    </w:p>
    <w:p w14:paraId="35CD55A4" w14:textId="77777777" w:rsidR="00031512" w:rsidRDefault="008E0BFA">
      <w:pPr>
        <w:jc w:val="both"/>
      </w:pPr>
      <w:r>
        <w:t>If you would like information about the research results, or have any further queries, please contact the Chief Investigator.</w:t>
      </w:r>
    </w:p>
    <w:p w14:paraId="215B41AE" w14:textId="77777777" w:rsidR="00031512" w:rsidRDefault="00031512">
      <w:pPr>
        <w:jc w:val="both"/>
        <w:rPr>
          <w:b/>
        </w:rPr>
      </w:pPr>
    </w:p>
    <w:p w14:paraId="44F38687" w14:textId="77777777" w:rsidR="00031512" w:rsidRDefault="008E0BFA">
      <w:pPr>
        <w:jc w:val="both"/>
        <w:rPr>
          <w:b/>
        </w:rPr>
      </w:pPr>
      <w:r>
        <w:rPr>
          <w:b/>
        </w:rPr>
        <w:t>Available Support</w:t>
      </w:r>
    </w:p>
    <w:p w14:paraId="4D7CCC79" w14:textId="77777777" w:rsidR="00031512" w:rsidRDefault="008E0BFA">
      <w:pPr>
        <w:jc w:val="both"/>
      </w:pPr>
      <w:r>
        <w:t xml:space="preserve">If you experience any distress related to participating in this </w:t>
      </w:r>
      <w:proofErr w:type="gramStart"/>
      <w:r>
        <w:t>research</w:t>
      </w:r>
      <w:proofErr w:type="gramEnd"/>
      <w:r>
        <w:t xml:space="preserve"> you can access free coun</w:t>
      </w:r>
      <w:r>
        <w:t>selling and support Australia wide through the organisations listed below.</w:t>
      </w:r>
    </w:p>
    <w:p w14:paraId="47BD1938" w14:textId="77777777" w:rsidR="00031512" w:rsidRDefault="00031512">
      <w:pPr>
        <w:jc w:val="both"/>
      </w:pPr>
    </w:p>
    <w:p w14:paraId="3C7D5C53" w14:textId="77777777" w:rsidR="00031512" w:rsidRDefault="008E0BFA">
      <w:pPr>
        <w:jc w:val="both"/>
      </w:pPr>
      <w:r>
        <w:t>Lifeline</w:t>
      </w:r>
      <w:r>
        <w:tab/>
      </w:r>
      <w:r>
        <w:tab/>
        <w:t>13 11 14</w:t>
      </w:r>
    </w:p>
    <w:p w14:paraId="304BB3F8" w14:textId="77777777" w:rsidR="00031512" w:rsidRDefault="008E0BFA">
      <w:pPr>
        <w:jc w:val="both"/>
      </w:pPr>
      <w:r>
        <w:t xml:space="preserve">Beyond Blue </w:t>
      </w:r>
      <w:r>
        <w:tab/>
        <w:t>1300 224 636</w:t>
      </w:r>
    </w:p>
    <w:p w14:paraId="6344066F" w14:textId="77777777" w:rsidR="00031512" w:rsidRDefault="00031512">
      <w:pPr>
        <w:jc w:val="both"/>
      </w:pPr>
    </w:p>
    <w:p w14:paraId="43B7CC41" w14:textId="77777777" w:rsidR="00031512" w:rsidRDefault="008E0BFA">
      <w:pPr>
        <w:jc w:val="both"/>
        <w:rPr>
          <w:b/>
        </w:rPr>
      </w:pPr>
      <w:r>
        <w:rPr>
          <w:b/>
        </w:rPr>
        <w:t>Complaints</w:t>
      </w:r>
    </w:p>
    <w:p w14:paraId="7D23C415" w14:textId="77777777" w:rsidR="00031512" w:rsidRDefault="008E0BFA">
      <w:pPr>
        <w:jc w:val="both"/>
      </w:pPr>
      <w:r>
        <w:t>Should you have any concerns or complaints about the conduct of the project, you are welcome to contact The Chairperson, AH</w:t>
      </w:r>
      <w:r>
        <w:t>&amp;MRC Ethics Committee:</w:t>
      </w:r>
    </w:p>
    <w:p w14:paraId="60265E1A" w14:textId="77777777" w:rsidR="00031512" w:rsidRDefault="00031512"/>
    <w:p w14:paraId="3AF4EAAE" w14:textId="77777777" w:rsidR="00031512" w:rsidRDefault="008E0BFA">
      <w:pPr>
        <w:ind w:left="720"/>
      </w:pPr>
      <w:r>
        <w:t xml:space="preserve">The Chairperson </w:t>
      </w:r>
    </w:p>
    <w:p w14:paraId="60DBE9E1" w14:textId="77777777" w:rsidR="00031512" w:rsidRDefault="008E0BFA">
      <w:pPr>
        <w:ind w:left="720"/>
      </w:pPr>
      <w:r>
        <w:t xml:space="preserve">AH&amp;MRC Ethics Committee </w:t>
      </w:r>
    </w:p>
    <w:p w14:paraId="6FA84051" w14:textId="77777777" w:rsidR="00031512" w:rsidRDefault="008E0BFA">
      <w:pPr>
        <w:ind w:left="720"/>
      </w:pPr>
      <w:r>
        <w:t xml:space="preserve">35 Harvey Street </w:t>
      </w:r>
    </w:p>
    <w:p w14:paraId="24B84CA1" w14:textId="77777777" w:rsidR="00031512" w:rsidRDefault="008E0BFA">
      <w:pPr>
        <w:ind w:left="720"/>
      </w:pPr>
      <w:r>
        <w:t>Little Bay NSW 2036</w:t>
      </w:r>
    </w:p>
    <w:p w14:paraId="4D6070DD" w14:textId="77777777" w:rsidR="00031512" w:rsidRDefault="008E0BFA">
      <w:pPr>
        <w:ind w:left="720"/>
      </w:pPr>
      <w:r>
        <w:t xml:space="preserve">Email: </w:t>
      </w:r>
      <w:hyperlink r:id="rId4">
        <w:r>
          <w:rPr>
            <w:color w:val="1155CC"/>
            <w:u w:val="single"/>
          </w:rPr>
          <w:t>ethics@ahmrc.org.au</w:t>
        </w:r>
      </w:hyperlink>
    </w:p>
    <w:p w14:paraId="07D6A6DB" w14:textId="77777777" w:rsidR="00031512" w:rsidRDefault="008E0BFA">
      <w:pPr>
        <w:ind w:left="720"/>
      </w:pPr>
      <w:r>
        <w:lastRenderedPageBreak/>
        <w:t>Telephone: (02) 9212 4777</w:t>
      </w:r>
    </w:p>
    <w:p w14:paraId="50CBC77F" w14:textId="77777777" w:rsidR="00031512" w:rsidRDefault="00031512">
      <w:pPr>
        <w:ind w:left="720" w:hanging="436"/>
      </w:pPr>
    </w:p>
    <w:p w14:paraId="34B125DC" w14:textId="77777777" w:rsidR="00031512" w:rsidRDefault="00031512"/>
    <w:p w14:paraId="0B0630C8" w14:textId="77777777" w:rsidR="00031512" w:rsidRDefault="008E0BFA">
      <w:r>
        <w:t>Thank you,</w:t>
      </w:r>
    </w:p>
    <w:p w14:paraId="078A238E" w14:textId="77777777" w:rsidR="00031512" w:rsidRDefault="00031512"/>
    <w:p w14:paraId="5982A938" w14:textId="77777777" w:rsidR="00031512" w:rsidRDefault="008E0BFA">
      <w:r>
        <w:t xml:space="preserve">Dr Susan </w:t>
      </w:r>
      <w:proofErr w:type="spellStart"/>
      <w:r>
        <w:t>Baidawi</w:t>
      </w:r>
      <w:proofErr w:type="spellEnd"/>
    </w:p>
    <w:p w14:paraId="04A2B0C0" w14:textId="77777777" w:rsidR="00031512" w:rsidRDefault="00031512"/>
    <w:sectPr w:rsidR="0003151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12"/>
    <w:rsid w:val="00031512"/>
    <w:rsid w:val="008E0BFA"/>
    <w:rsid w:val="00DA59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3DFD"/>
  <w15:docId w15:val="{5B56BFD3-6487-4AC1-9AB7-6A29FAA9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thics@ahmrc.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6647</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 POTTER</cp:lastModifiedBy>
  <cp:revision>2</cp:revision>
  <dcterms:created xsi:type="dcterms:W3CDTF">2022-05-04T00:59:00Z</dcterms:created>
  <dcterms:modified xsi:type="dcterms:W3CDTF">2022-05-04T00:59:00Z</dcterms:modified>
</cp:coreProperties>
</file>